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7" w:rsidRPr="00ED5667" w:rsidRDefault="00ED5667" w:rsidP="00ED5667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ED5667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ru-RU" w:eastAsia="ru-RU" w:bidi="ar-SA"/>
        </w:rPr>
        <w:t>Проектная декларация</w:t>
      </w:r>
    </w:p>
    <w:p w:rsidR="00ED5667" w:rsidRPr="00ED5667" w:rsidRDefault="00ED5667" w:rsidP="00ED5667">
      <w:pPr>
        <w:shd w:val="clear" w:color="auto" w:fill="FFFFFF"/>
        <w:spacing w:line="336" w:lineRule="atLeast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ED5667">
        <w:rPr>
          <w:rFonts w:ascii="Arial" w:eastAsia="Times New Roman" w:hAnsi="Arial" w:cs="Arial"/>
          <w:color w:val="C00000"/>
          <w:bdr w:val="none" w:sz="0" w:space="0" w:color="auto" w:frame="1"/>
          <w:shd w:val="clear" w:color="auto" w:fill="FFFFFF"/>
          <w:lang w:val="ru-RU" w:eastAsia="ru-RU" w:bidi="ar-SA"/>
        </w:rPr>
        <w:t>От 30 октября 2013 г.</w:t>
      </w:r>
    </w:p>
    <w:p w:rsidR="00ED5667" w:rsidRPr="00ED5667" w:rsidRDefault="00ED5667" w:rsidP="00ED5667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ED566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val="ru-RU" w:eastAsia="ru-RU" w:bidi="ar-SA"/>
        </w:rPr>
        <w:t>Информация    о    застройщике:</w:t>
      </w:r>
    </w:p>
    <w:tbl>
      <w:tblPr>
        <w:tblW w:w="8903" w:type="dxa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9"/>
        <w:gridCol w:w="6054"/>
      </w:tblGrid>
      <w:tr w:rsidR="00ED5667" w:rsidRPr="00ED5667" w:rsidTr="00ED5667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Фирменное наименование (наименование), место   нахождения застройщика, а также режим работы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Общество с   ограниченной ответственностью Производственно-коммерческая фирма «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Гюнай</w:t>
            </w:r>
            <w:proofErr w:type="spellEnd"/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»(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ООО   ПКФ «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Гюнай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»)</w:t>
            </w:r>
          </w:p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Юридический адрес: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142001, Московская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. Домодедово,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мкр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 Северный, ул.   Северная, д.6а.</w:t>
            </w:r>
          </w:p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Фактический адрес: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142001, Московская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. Домодедово,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мкр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 Северный, ул.   Северная, д.6а.</w:t>
            </w:r>
          </w:p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Телефоны: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(495)   980-81-21, (496) 793-09-40</w:t>
            </w:r>
          </w:p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Режим работы застройщика:</w:t>
            </w: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ru-RU" w:eastAsia="ru-RU" w:bidi="ar-SA"/>
              </w:rPr>
              <w:t>По рабочим дням с 9:00   до 17:00</w:t>
            </w:r>
          </w:p>
        </w:tc>
      </w:tr>
      <w:tr w:rsidR="00ED5667" w:rsidRPr="00ED5667" w:rsidTr="00ED566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Государственная   регистрация Застройщика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Данные   о государственной регистрации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Свидетельство о   государственной регистрации серия 1438 № 3895/37 от 17 октября 1996 г. выдано   Администрацией Домодедовского района  Московской области.</w:t>
            </w:r>
          </w:p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Данные   о постановке на учет в налоговом органе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Поставлено на учет в ИМНС   РФ по г. Домодедово Московской области, код 5009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Свидетельство о постановке   на учет в налоговом органе выдано 12.11.2003 г. на бланке серия 50 №   003000531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ИНН 5009002812, КПП   500901001</w:t>
            </w:r>
          </w:p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Данные   о внесении в ЕГРЮЛ записи о юридическом лице, зарегистрированном до 01 июля   2002 года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Свидетельство о внесении   записи в государственный реестр юридических лиц выдано 08 февраля 2003 года   на бланке серии 50 № 001983375, ОГРН 1035002004311</w:t>
            </w:r>
          </w:p>
        </w:tc>
      </w:tr>
      <w:tr w:rsidR="00ED5667" w:rsidRPr="00ED5667" w:rsidTr="00ED566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Учредители   (акционеры) застройщика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Гражданин РФ Рагимов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Ализаман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Сабир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оглы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– 100%</w:t>
            </w:r>
          </w:p>
        </w:tc>
      </w:tr>
      <w:tr w:rsidR="00ED5667" w:rsidRPr="00ED5667" w:rsidTr="00ED566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Информация о проектах   строительства объектов недвижимости, в которых Застройщик принимал участие в   течение 3-х лет, 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предшествующих опубликованию данной проектной декларации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 указанием сроков ввода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 xml:space="preserve">160 кв. 11 этажный кирпичный дом по ул. Энергетиков,   № 4 в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 Домодедово Московской области.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Введен   – декабрь 2010 г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Блок начальных классов МОУ   «Домодедовская средняя школа №4» по   адресу: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Московская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обл., г. Домодедово,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мкр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.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Северный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, ул. Гагарина, стр.13,   корп. 1.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Введен – 30.08.2011 г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490 кв. 9-ти секционный многоэтажный жилой дом с   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 xml:space="preserve">пристроенным помещением Дома детского творчества по адресу Московская  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 Домодедово, микрорайон Северный, ул. Ломоносова, дом № 10.</w:t>
            </w: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Введен   – 29.12.2011 г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19</w:t>
            </w: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-ти этажный монолитный   жилой дом со встроено-пристроенными помещениями по адресу: Московская  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. Домодедово, ул. Гагарина, дом № 45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Введен –   16.11.2012 г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Многоэтажный жилой дом по адресу: Московская  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. Домодедово, микрорайон Западный, ул. Текстильщиков, участок № 31.  </w:t>
            </w: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Планируемый срок ввода –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IV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квартал 2013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г.</w:t>
            </w:r>
          </w:p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Многоэтажный жилой дом (поз. 31   по проекту планировки) по адресу: Московская область, г. Домодедово,   микрорайон Северный, ул. Гагарина, уч.60а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.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ланируемый срок ввода – 3 квартал 2013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г.</w:t>
            </w:r>
          </w:p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C00000"/>
                <w:sz w:val="22"/>
                <w:lang w:val="ru-RU" w:eastAsia="ru-RU" w:bidi="ar-SA"/>
              </w:rPr>
              <w:t xml:space="preserve">Многоэтажный жилой   дом (поз. 1 по проекту планировки) по адресу: Московская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C00000"/>
                <w:sz w:val="22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C00000"/>
                <w:sz w:val="22"/>
                <w:lang w:val="ru-RU" w:eastAsia="ru-RU" w:bidi="ar-SA"/>
              </w:rPr>
              <w:t>.   Домодедово, микрорайон Северный, ул. Набережная, уч.14.</w:t>
            </w:r>
            <w:r w:rsidRPr="00ED5667">
              <w:rPr>
                <w:rFonts w:ascii="Arial" w:eastAsia="Times New Roman" w:hAnsi="Arial" w:cs="Arial"/>
                <w:color w:val="C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Планируемый срок ввода – 4 квартал   2014 г.</w:t>
            </w:r>
          </w:p>
          <w:p w:rsidR="00ED5667" w:rsidRPr="00ED5667" w:rsidRDefault="00ED5667" w:rsidP="00ED5667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C00000"/>
                <w:sz w:val="22"/>
                <w:lang w:val="ru-RU" w:eastAsia="ru-RU" w:bidi="ar-SA"/>
              </w:rPr>
              <w:t xml:space="preserve">Многоярусная   автостоянка по адресу: Московская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C00000"/>
                <w:sz w:val="22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C00000"/>
                <w:sz w:val="22"/>
                <w:lang w:val="ru-RU" w:eastAsia="ru-RU" w:bidi="ar-SA"/>
              </w:rPr>
              <w:t>. Домодедово, микрорайон   Северный, ул. Северная. </w:t>
            </w:r>
            <w:r w:rsidRPr="00ED5667">
              <w:rPr>
                <w:rFonts w:ascii="Arial" w:eastAsia="Times New Roman" w:hAnsi="Arial" w:cs="Arial"/>
                <w:color w:val="C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Планируемый срок ввода – 2 квартал 2014 г.</w:t>
            </w:r>
          </w:p>
        </w:tc>
      </w:tr>
      <w:tr w:rsidR="00ED5667" w:rsidRPr="00ED5667" w:rsidTr="00ED566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Вид лицензируемой деятельности, номер лицензии,   сроке ее действия, орган, выдавшем эту лицензию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1. Член СРО – Протокол № 18 от 04.06.2009 г.   Заседания Совета Некоммерческого партнерства «Союз строителей Московской   области «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Мособлстройкомплекс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».</w:t>
            </w:r>
          </w:p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2. Свидетельство о допуске к определенному виду или   видам работ, которые оказывают влияние на безопасность объектов капитального   строительства № 0090.05-2009-5009002812-С-035 от 31.08.2011 г. Основание   выдачи Свидетельства: Решение Совета Некоммерческого партнерства   «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Саморегулируемая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организация «Союз строителей Московской области   «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Мособлстройкомплекс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», протокол от 31.08.2011 г.</w:t>
            </w:r>
          </w:p>
        </w:tc>
      </w:tr>
      <w:tr w:rsidR="00ED5667" w:rsidRPr="00ED5667" w:rsidTr="00ED566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Финансово-экономическое</w:t>
            </w:r>
            <w:proofErr w:type="gramEnd"/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состоянии Застройщика на 30.09.2013 года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Величина собственных денежных средств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20 030 000   рублей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Финансовый   результат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- 4 460 тыс. рублей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Размер   кредиторской задолженности: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2 358 724 тыс.   рублей</w:t>
            </w:r>
          </w:p>
        </w:tc>
      </w:tr>
    </w:tbl>
    <w:p w:rsidR="00ED5667" w:rsidRPr="00ED5667" w:rsidRDefault="00ED5667" w:rsidP="00ED5667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ED566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val="ru-RU" w:eastAsia="ru-RU" w:bidi="ar-SA"/>
        </w:rPr>
        <w:lastRenderedPageBreak/>
        <w:t> </w:t>
      </w:r>
    </w:p>
    <w:p w:rsidR="00ED5667" w:rsidRPr="00ED5667" w:rsidRDefault="00ED5667" w:rsidP="00ED5667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ED566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val="ru-RU" w:eastAsia="ru-RU" w:bidi="ar-SA"/>
        </w:rPr>
        <w:t>Информация  о  проекте  строительства:</w:t>
      </w:r>
    </w:p>
    <w:p w:rsidR="00ED5667" w:rsidRPr="00ED5667" w:rsidRDefault="00ED5667" w:rsidP="00ED5667">
      <w:pPr>
        <w:shd w:val="clear" w:color="auto" w:fill="FFFFFF"/>
        <w:spacing w:before="180" w:after="6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ED5667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</w:t>
      </w:r>
    </w:p>
    <w:tbl>
      <w:tblPr>
        <w:tblW w:w="0" w:type="auto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7"/>
        <w:gridCol w:w="6967"/>
      </w:tblGrid>
      <w:tr w:rsidR="00ED5667" w:rsidRPr="00ED5667" w:rsidTr="00ED5667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Цели   проекта строительства, об этапах и о сроках его реализации, о результатах   государственной экспертизы проектной документации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10-этажные жилые дома со встроено-пристроенными общественными   помещениями (поз. № 8, № 9/1, № 9/2 по генплану) по адресу: Московская   область, </w:t>
            </w:r>
            <w:proofErr w:type="gramStart"/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 Домодедово, микрорайон «Авиационный» ул. Жуковского, участок № 14</w:t>
            </w:r>
            <w:r w:rsidRPr="00ED5667">
              <w:rPr>
                <w:rFonts w:ascii="Franklin Gothic Medium" w:eastAsia="Times New Roman" w:hAnsi="Franklin Gothic Medium" w:cs="Arial"/>
                <w:color w:val="000000"/>
                <w:lang w:val="ru-RU" w:eastAsia="ru-RU" w:bidi="ar-SA"/>
              </w:rPr>
              <w:t>.</w:t>
            </w:r>
          </w:p>
          <w:p w:rsidR="00ED5667" w:rsidRPr="00ED5667" w:rsidRDefault="00ED5667" w:rsidP="00ED5667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Franklin Gothic Medium" w:eastAsia="Times New Roman" w:hAnsi="Franklin Gothic Medium" w:cs="Arial"/>
                <w:color w:val="000000"/>
                <w:sz w:val="22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keepNext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Положительное заключение Государственной   экспертизы ГАУ МО «Московская областная государственная экспертиза» от   12.12.2011г. №50-1-4-1614-11.</w:t>
            </w:r>
          </w:p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Этапы строительства:</w:t>
            </w:r>
          </w:p>
          <w:p w:rsidR="00ED5667" w:rsidRPr="00ED5667" w:rsidRDefault="00ED5667" w:rsidP="00ED5667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(дом №9) – до 4 квартала 2014 г., включительно;</w:t>
            </w:r>
          </w:p>
          <w:p w:rsidR="00ED5667" w:rsidRPr="00ED5667" w:rsidRDefault="00ED5667" w:rsidP="00ED5667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(дом №8) – до 2 квартал 2015г.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,в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ключительно.</w:t>
            </w:r>
          </w:p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Этапы передачи объектов долевого   строительства участникам:</w:t>
            </w:r>
          </w:p>
          <w:p w:rsidR="00ED5667" w:rsidRPr="00ED5667" w:rsidRDefault="00ED5667" w:rsidP="00ED5667">
            <w:pPr>
              <w:numPr>
                <w:ilvl w:val="0"/>
                <w:numId w:val="3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(дом №9) – 1   квартал 2015 г.;</w:t>
            </w:r>
          </w:p>
          <w:p w:rsidR="00ED5667" w:rsidRPr="00ED5667" w:rsidRDefault="00ED5667" w:rsidP="00ED5667">
            <w:pPr>
              <w:numPr>
                <w:ilvl w:val="0"/>
                <w:numId w:val="3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– (дом №8) – 3 квартал 2015 г.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Разрешение   на строительство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№RU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50308000-РСЮ/12 выдано 25/01/2012 г.   Администрацией городского округа Домодедово, срок действия до 01.12.2015 г.</w:t>
            </w:r>
          </w:p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ПОСТАНОВЛЕНИЕ от 29.03.2013 г. № 1258 «О   внесении изменений в разрешение на строительство от 25.01.2012 №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RU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50308000 – РСЮ/12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Права   застройщика на земельный участок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Отведённый под строительство земельный участок кадастровый номер   50:28:0020905:6 общей площадью 4,5 га предоставлен ООО ПКФ «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Гюнай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» на   основании договора аренды земельного участка от 10.08.2010 г. №65-КИЗ/10 и дополнительного соглашения от   13.07.2011 г. № 1, заключённых с Комитетом по управлению имуществом   администрации городского округа Домодедово Московской области, срок аренды   участка с 10.08.2010 г. по 09.08.2020 г.</w:t>
            </w:r>
            <w:proofErr w:type="gramEnd"/>
          </w:p>
          <w:p w:rsidR="00ED5667" w:rsidRPr="00ED5667" w:rsidRDefault="00ED5667" w:rsidP="00ED5667">
            <w:pPr>
              <w:ind w:left="23" w:right="40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Также предусмотрено благоустройство на участке площадью 0,84 га,   выполняемое на основании согласования с Территориальным Управлением   микрорайона Авиационный города Домодедово №32-19/289.</w:t>
            </w:r>
            <w:proofErr w:type="gramEnd"/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Категория земель - земли населенных пунктов. Вид разрешенного   использования - под строительство многоэтажных жилых домов.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Местоположение   дома и его описание в соответствии с проектной документацией, на основании   которой выдано разрешение на </w:t>
            </w: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строительство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 xml:space="preserve">Московская область, 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. Домодедово, микрорайон «Авиационный» ул.   Жуковского, участок № 14.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Схема планировочной организации земельного участка (далее СПОЗУ)   разработана на основании проекта планировки, утверждённого постановлением   Администрации городского округа Домодедово от 30.03.2011 г. № 803,   градостроительного плана земельного участка № 1Ш50300-ГП374 от 25.07.2011 г.,   утвержденного постановлением Администрации городского округа Домодедово от   19.08.2011 г. № 3015.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На СПОЗУ размещаются следующие здания и сооружения: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- жилой дом № 8 (поз. № 8 по СПОЗУ);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жилой дом № 9 (корпуса 9/1 и 9/2 (поз. №№ 9/1 и 9/2 по СПОЗУ)) со   встроено-пристроенными помещениями, в состав которого входят   встроенно-пристроенное здание магазина и кафе (поз. № 9/1мк по СПОЗУ) и   встроенное здание студии детского творчества (поз. № 9/1с по СПОЗУ);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трансформаторная подстанция (поз. № 18 по СПОЗУ);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- распределительный пункт 10   кВ, совмещенный с трансформаторной подстанцией (поз. № 20 по СПОЗУ).</w:t>
            </w:r>
          </w:p>
          <w:p w:rsidR="00ED5667" w:rsidRPr="00ED5667" w:rsidRDefault="00ED5667" w:rsidP="00ED5667">
            <w:pPr>
              <w:ind w:firstLine="31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На прилегающей   к жилым домам территории запроектировано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размещениеследующих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площадок: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для игр детей (1065 м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);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для отдыха взрослых (151м2);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для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занятийфизкультурной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(1300 м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);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before="240" w:after="240"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для хозяйственных целей и выгула собак (95   м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);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для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установкимусоросборных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контейнеров;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before="240" w:after="240"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стоянки для временного хранения автотранспорта  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жителейобщей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вместимостью 98 м/мест (в том числе 10 м/мест для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маломобильных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 xml:space="preserve">  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группнаселения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);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before="240" w:after="240"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стоянки для временного хранения автотранспорта   сотрудников встроено-пристроенных помещений - 12 м/мест;</w:t>
            </w:r>
          </w:p>
          <w:p w:rsidR="00ED5667" w:rsidRPr="00ED5667" w:rsidRDefault="00ED5667" w:rsidP="00ED5667">
            <w:pPr>
              <w:numPr>
                <w:ilvl w:val="0"/>
                <w:numId w:val="4"/>
              </w:numPr>
              <w:spacing w:before="240" w:after="240"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пешеходных дорожек.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 соответствии с письмом   Администрации городского округа Домодедово от 20.12.2011 г. № 2-21/2027 места   постоянного хранения автомобилей будут предусмотрены на прилегающей с востока   к участку площадке в количестве 428 м/мест до ввода в эксплуатацию подземных   паркингов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 согласованию с   Территориальным Управлением микрорайона Авиационный города Домодедово №   32-19/288Ю, нехватка спортивных площадей компенсируется за счет находящегося   в пешеходной доступности существующего спортивного ядра (для активных   спортивных игр) лицея № 1 по ул. Жуковского.</w:t>
            </w:r>
            <w:proofErr w:type="gramEnd"/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Тип покрытия площадок: для   игр детей -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спецсмесь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; для отдыха взрослых - тротуарная плитка; для занятий   физкультурной - из каучуковой крошки; стоянок автомобилей и площадки для   мусоросборников - мелкозернистый асфальтобетон.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Озеленение участка -   посадка деревьев, кустарников, устройство газонов, разбивка цветников.   Предусмотрена установка малых архитектурных форм и оборудования для детских   площадок и отдыха взрослых.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Жилой дом №8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10-ти   этажный с техническим «теплым» чердаком и подвалом, 10-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ти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 секционный (секции   1-10), П-образной формы в плане, общим размером в осях «А-К/1- 10» 126,66x105,66 м. Между 4-ой и 5-ой секциями предусмотрен сквозной   проезд (арка) во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внутридворовую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 территорию, шириной 4 метра, высотой 6   метров.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За  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относительную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отм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. 0,000 принята отметка чистого пола 1-го этажа (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абс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.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отм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.   170,75 м - для секций №№ 1-КЗ;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абс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.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отм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. 171,75 м - для секций №№ 4-10).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lastRenderedPageBreak/>
              <w:t>Высота   строительных конструкций (по парапету) - 36,90 м, от планировочной от</w:t>
            </w: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softHyphen/>
              <w:t>метки   земли.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Высота   этажей: подвала, 1-го и типового - 2,8 м; чердака (до низа несущих конст</w:t>
            </w: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softHyphen/>
              <w:t>рукций)   - 2,56 м.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Набор   помещений общественного назначения, состав помещений и площади квартир   приняты в соответствии с заданием на проектирование. В задании на   корректировку про</w:t>
            </w: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softHyphen/>
              <w:t>ектной документации не содержится требований по размещению   в жилом доме квартир для семей с инвалидами, пользующимися   креслами-колясками.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В   подвальном этаже размещены помещения инженерно-технического назначения.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На 1-м   этаже секций №№ 1, 3, 4, 5, 7, 8, 9, 10 размещены: входная группа в жилую   часть с лифтовым холлом и 2-мя тамбурами, межквартирный холл, мусорная камера   и по</w:t>
            </w: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softHyphen/>
              <w:t>мещение вахтера с санузлом. На 1-м этаже секций №№ 2, 6 размещены:   входная группа в жилую часть с лифтовым холлом и 2-мя тамбурами, входная   группа в офисную часть с тамбуром, помещения общественного назначения   (офисы), комната уборочного инвента</w:t>
            </w: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softHyphen/>
              <w:t xml:space="preserve">ря,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электрощитовая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 и мусорная камера.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На   техническом этаже размещены технические помещения, машинные отделения лифтов   и выходы на кровлю.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Каждая   квартира имеет остекленную лоджию (балкон). В квартирах предусмотрены жилые   комнаты и подсобные помещения: кухня, прихожая и раздельный санузел.  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Электрощитовые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 </w:t>
            </w:r>
            <w:proofErr w:type="gram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расположены</w:t>
            </w:r>
            <w:proofErr w:type="gram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 не </w:t>
            </w:r>
            <w:proofErr w:type="spellStart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смежно</w:t>
            </w:r>
            <w:proofErr w:type="spellEnd"/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 xml:space="preserve"> с жилыми помещениями.</w:t>
            </w:r>
          </w:p>
          <w:p w:rsidR="00ED5667" w:rsidRPr="00ED5667" w:rsidRDefault="00ED5667" w:rsidP="00ED5667">
            <w:pPr>
              <w:ind w:left="62" w:right="40" w:firstLine="25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lang w:val="ru-RU" w:eastAsia="ru-RU" w:bidi="ar-SA"/>
              </w:rPr>
              <w:t>Связь   между этажами в каждой секции осуществляется с помощью лестничной клетки и   двух лифтов грузоподъемностью 400 кг и 630 кг.</w:t>
            </w:r>
          </w:p>
          <w:p w:rsidR="00ED5667" w:rsidRPr="00ED5667" w:rsidRDefault="00ED5667" w:rsidP="00ED5667">
            <w:pPr>
              <w:spacing w:line="336" w:lineRule="atLeast"/>
              <w:ind w:left="40" w:firstLine="278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"/>
                <w:szCs w:val="2"/>
                <w:bdr w:val="none" w:sz="0" w:space="0" w:color="auto" w:frame="1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ind w:left="40" w:firstLine="278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Жилой дом № 9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Корпус 9/1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- 7-ми секционное,   10-ти этажное здание с подвалом, тёплым чердаком и со встроено-пристроенными   помещениями. Размеры здания в осях в уровне 1-го этажа: секция № 1 - 14,3x22,64   м; секция №2 - 18,35x27,15 м; секции №№3-4 - 16,7x70,4 м; секция № 5 -   16,3x27,35 м; секции №№ 6-8 - 14,3x45,28 м. Высота здания от уровня проезда   до низа окна 10-го этажа - 28,3 м; до верха парапета - 37,6 м. В секции № 3   предусмотрен сквозной проезд во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внутридворовую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территорию размерами 3,65x4,0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(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h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)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м.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Высота этажей: подвала и   1-го этажа - 3,3 м; 10-го - 3,0 м; чердака - 1,95 м (от пола до потолка).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За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отм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 0.000 приняты   отметки пола 1-го этажа, соответствующие абсолютным отметкам: 172,20 м - в   секциях №№ 1, 2 и 3; 173,00 - в секциях №№ 4-7.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Подвал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посекционно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разделён   на противопожарные отсеки и предназначен для разводки инженерных сетей,   размещения (без примыкания к жилым комнатам), водомерного узла, а также   встроено-пристроенных помещений. Из подвала предусмотрены выходы наружу.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На 1-ом этаже, кроме   квартир, размещены встроено-пристроенные помещения, помещения консьержей с   санузлом, лифтовой и 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поквартирный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холлы; помещения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электрощитовых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(без   примыкания к жилым помещениям): два - для жилой части и три - для   встроено-пристроенных помещений и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мусоросборные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камеры.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На чердаке размещены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техпомещения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венткамеры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, машинные отделения лифтов. Предусмотрены выходы на   кровлю.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 квартирах предусмотрены   жилые комнаты и подсобные помещения: кухня, прихожая, раздельные или   совмещенные санузлы (в соответствии с заданием на проектирование),   остекленные лоджии.</w:t>
            </w:r>
          </w:p>
          <w:p w:rsidR="00ED5667" w:rsidRPr="00ED5667" w:rsidRDefault="00ED5667" w:rsidP="00ED5667">
            <w:pPr>
              <w:ind w:left="40" w:right="4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Вертикальная связь в   секциях №№ 1-3, 5-7 осуществляется по лестничным клеткам типа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HI;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секции № 4 - по лестничной   клетке 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lastRenderedPageBreak/>
              <w:t>типа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HI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и</w:t>
            </w:r>
            <w:proofErr w:type="spellEnd"/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эвакуационной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лестничнойклетке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типа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J11;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 каждой секции - по двум   лифтам грузоподъемностью 400 кг и 1000 кг.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Корпус 9/2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- 3-х секционное,   10-ти этажное здание со встроено-пристроенными помещениями, подвалом и тёплым   чердаком, с размерами в осях в уровне 1-го этажа: секция № 8 - 14,3x22,64 м;   секция № 9 - 16,3x27,35 м; секция № 10 - 16,5x43,35 м. Высота здания (от   уровня проезда до низа окна 10-го этажа) - 28,6 м;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до верха парапета - 37,6   м.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За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отм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 0.000 приняты   отметки пола 1-го этажа, соответствующие абсолютным отметкам: 171,00 м - в   секциях №№ 8 и 9; 170,50 - в секции № 10.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Высота этажей: подвала и   1-го этажа - 3,3 м; 2-10-го - 3,0 м; чердака - 1,95 м (от пола до потолка).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Подвал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посекционно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разделён   на противопожарные отсеки и предназначен для разводки инженерных сетей,   размещения (без примыкания к жилым помещениям), индивидуального теплового   пункта, помещения АТС, помещения головной станции телевидения, а также   встроенных помещений.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На 1-ом этаже, кроме   квартир, размещены помещение диспетчерской, встроенные помещения, помещения   консьержей с санузлом, лифтовой и 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поквартирный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холлы, помещения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электрощитовых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(без примыкания к жилым помещениям): одно - для жилой части и   одно - для встроено-пристроенных помещений и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мусоросборные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камеры.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На чердаке размещены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техпомещения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венткамеры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, машинные отделения лифтов. Предусмотрены выходы на   кровлю.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 квартирах предусмотрены   жилые комнаты и подсобные помещения: кухня, прихожая, раздельные или   совмещенные санузлы (в соответствии с заданием на проектирование),   остекленные лоджии.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Вертикальная связь в каждой   секции осуществляется по лестничным клеткам типа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HI,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двум лифтам грузоподъемностью 400   кг и 1000 кг. Кроме того в секциях коридорного типа предусмотрена   эвакуационная лестница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J11, 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 выходом непосредственно на улицу.</w:t>
            </w:r>
          </w:p>
          <w:p w:rsidR="00ED5667" w:rsidRPr="00ED5667" w:rsidRDefault="00ED5667" w:rsidP="00ED5667">
            <w:pPr>
              <w:ind w:left="23" w:firstLine="295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</w:tc>
      </w:tr>
      <w:tr w:rsidR="00ED5667" w:rsidRPr="00ED5667" w:rsidTr="00ED5667">
        <w:trPr>
          <w:trHeight w:val="155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Количество   в составе строящегося дома самостоятельных частей (квартир, гаражей и иных   объектов), передаваемых участникам долевого строительства, описание   технических характеристик самостоятельных частей в соответствии с проектной   документацией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ind w:firstLine="33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8"/>
                <w:szCs w:val="8"/>
                <w:bdr w:val="none" w:sz="0" w:space="0" w:color="auto" w:frame="1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spacing w:before="60"/>
              <w:ind w:left="20" w:firstLine="56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Основные технические   показатели по жилому дому № 8:</w:t>
            </w:r>
          </w:p>
          <w:p w:rsidR="00ED5667" w:rsidRPr="00ED5667" w:rsidRDefault="00ED5667" w:rsidP="00ED5667">
            <w:pPr>
              <w:spacing w:line="25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                                                                                                                                                                                                   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576"/>
              <w:gridCol w:w="1315"/>
              <w:gridCol w:w="1650"/>
            </w:tblGrid>
            <w:tr w:rsidR="00ED5667" w:rsidRPr="00ED5667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12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Наименование показателя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Единица измерения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120" w:right="321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Численное значение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Количество секций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46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шт.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Количество квартир, в т.ч.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46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шт.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425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 однокомнатных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ind w:left="46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248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 двухкомнатных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ind w:left="46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150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 трехкомнатных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ind w:left="46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27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Общая площадь квартир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  <w:p w:rsidR="00ED5667" w:rsidRPr="00ED5667" w:rsidRDefault="00ED5667" w:rsidP="00ED5667">
                  <w:pPr>
                    <w:ind w:left="46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proofErr w:type="gramStart"/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  <w:proofErr w:type="gramEnd"/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22990,46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</w:tc>
            </w:tr>
            <w:tr w:rsidR="00ED5667" w:rsidRPr="00ED5667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Количество нежилых     помещений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46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шт.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Общая площадь нежилых     помещений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46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proofErr w:type="gramStart"/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  <w:proofErr w:type="gramEnd"/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292,42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Строительный объем,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46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3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105 668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503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в т.ч. подземной части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46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3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before="60"/>
                    <w:ind w:left="81" w:right="435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9 745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</w:tbl>
          <w:p w:rsidR="00ED5667" w:rsidRPr="00ED5667" w:rsidRDefault="00ED5667" w:rsidP="00ED5667">
            <w:pPr>
              <w:ind w:left="20" w:firstLine="56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Основные технические   показатели по жилому дому № 9:</w:t>
            </w:r>
          </w:p>
          <w:p w:rsidR="00ED5667" w:rsidRPr="00ED5667" w:rsidRDefault="00ED5667" w:rsidP="00ED5667">
            <w:pPr>
              <w:spacing w:line="25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                                                                                                                                                                                                                                                                                                                                     </w:t>
            </w:r>
          </w:p>
          <w:tbl>
            <w:tblPr>
              <w:tblW w:w="0" w:type="auto"/>
              <w:jc w:val="center"/>
              <w:tblInd w:w="30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8"/>
              <w:gridCol w:w="917"/>
              <w:gridCol w:w="1239"/>
            </w:tblGrid>
            <w:tr w:rsidR="00ED5667" w:rsidRPr="00ED5667">
              <w:trPr>
                <w:trHeight w:val="518"/>
                <w:jc w:val="center"/>
              </w:trPr>
              <w:tc>
                <w:tcPr>
                  <w:tcW w:w="3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Наименование показателя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Единица измерения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0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Численное значение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84"/>
                <w:jc w:val="center"/>
              </w:trPr>
              <w:tc>
                <w:tcPr>
                  <w:tcW w:w="6564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44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корпус № 9/1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84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Количество секций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шт.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83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Количество квартир, в т.ч.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шт.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340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50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-однокомнатных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190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59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-двухкомнатных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112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17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-трехкомнатных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38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54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Общая площадь квартир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proofErr w:type="gramStart"/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  <w:proofErr w:type="gramEnd"/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17558,74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88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Площадь встроено-пристроенных     помещений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proofErr w:type="gramStart"/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  <w:proofErr w:type="gramEnd"/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4738,94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504"/>
                <w:jc w:val="center"/>
              </w:trPr>
              <w:tc>
                <w:tcPr>
                  <w:tcW w:w="3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 xml:space="preserve">Строительный объем, в т.ч.     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lastRenderedPageBreak/>
                    <w:t>подземной части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3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lastRenderedPageBreak/>
                    <w:t>м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3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123189,2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br/>
                    <w:t>    9491,7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</w:tc>
            </w:tr>
            <w:tr w:rsidR="00ED5667" w:rsidRPr="00ED5667">
              <w:trPr>
                <w:trHeight w:val="425"/>
                <w:jc w:val="center"/>
              </w:trPr>
              <w:tc>
                <w:tcPr>
                  <w:tcW w:w="6564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корпус № 9/2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84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Количество секций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шт.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88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Количество квартир, в т.ч.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шт.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189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45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-однокомнатных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144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59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-двухкомнатных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27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317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-трехкомнатных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spacing w:line="336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10"/>
                      <w:szCs w:val="10"/>
                      <w:bdr w:val="none" w:sz="0" w:space="0" w:color="auto" w:frame="1"/>
                      <w:lang w:val="ru-RU" w:eastAsia="ru-RU" w:bidi="ar-SA"/>
                    </w:rPr>
                    <w:t> 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18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59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Общая площадь квартир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proofErr w:type="gramStart"/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  <w:proofErr w:type="gramEnd"/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8153,46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288"/>
                <w:jc w:val="center"/>
              </w:trPr>
              <w:tc>
                <w:tcPr>
                  <w:tcW w:w="32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Площадь встроенных помещений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proofErr w:type="gramStart"/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  <w:proofErr w:type="gramEnd"/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2526,6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  <w:tr w:rsidR="00ED5667" w:rsidRPr="00ED5667">
              <w:trPr>
                <w:trHeight w:val="523"/>
                <w:jc w:val="center"/>
              </w:trPr>
              <w:tc>
                <w:tcPr>
                  <w:tcW w:w="3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left="140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Строительный объем, вт.ч.     подземной части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3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520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м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3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9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  <w:p w:rsidR="00ED5667" w:rsidRPr="00ED5667" w:rsidRDefault="00ED5667" w:rsidP="00ED5667">
                  <w:pPr>
                    <w:ind w:right="469"/>
                    <w:jc w:val="righ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t>60834,92</w:t>
                  </w:r>
                  <w:r w:rsidRPr="00ED5667"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val="ru-RU" w:eastAsia="ru-RU" w:bidi="ar-SA"/>
                    </w:rPr>
                    <w:br/>
                    <w:t>    4812,72</w:t>
                  </w:r>
                </w:p>
                <w:p w:rsidR="00ED5667" w:rsidRPr="00ED5667" w:rsidRDefault="00ED5667" w:rsidP="00ED5667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ED5667"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  <w:t>   </w:t>
                  </w:r>
                </w:p>
              </w:tc>
            </w:tr>
          </w:tbl>
          <w:p w:rsidR="00ED5667" w:rsidRPr="00ED5667" w:rsidRDefault="00ED5667" w:rsidP="00ED5667">
            <w:pPr>
              <w:spacing w:before="111" w:after="111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Функциональное   назначение нежилых помещений в многоквартирном доме, не входящих в состав   общего имущества в многоквартирном доме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 жилом   доме № 9 (корпуса 9/1 и 9/2) расположены следующие встроенные помещения: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-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szCs w:val="14"/>
                <w:bdr w:val="none" w:sz="0" w:space="0" w:color="auto" w:frame="1"/>
                <w:lang w:val="ru-RU" w:eastAsia="ru-RU" w:bidi="ar-SA"/>
              </w:rPr>
              <w:t>        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семейный клуб по интересам, помещения для   бытового обслуживания населения - в подвале секций №№ 5-7;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-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szCs w:val="14"/>
                <w:bdr w:val="none" w:sz="0" w:space="0" w:color="auto" w:frame="1"/>
                <w:lang w:val="ru-RU" w:eastAsia="ru-RU" w:bidi="ar-SA"/>
              </w:rPr>
              <w:t>        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выставочный зал, видеосалон, ремонт часов,   парикмахерская, салон красоты, фотоателье, офисные помещения - на 1-х этажах   секций №№ 5-10;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-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szCs w:val="14"/>
                <w:bdr w:val="none" w:sz="0" w:space="0" w:color="auto" w:frame="1"/>
                <w:lang w:val="ru-RU" w:eastAsia="ru-RU" w:bidi="ar-SA"/>
              </w:rPr>
              <w:t>        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культурно-бытовые помещения для офисов - в   подвале секций №№ 8 и 9;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-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szCs w:val="14"/>
                <w:bdr w:val="none" w:sz="0" w:space="0" w:color="auto" w:frame="1"/>
                <w:lang w:val="ru-RU" w:eastAsia="ru-RU" w:bidi="ar-SA"/>
              </w:rPr>
              <w:t>        </w:t>
            </w:r>
            <w:r w:rsidRPr="00ED5667">
              <w:rPr>
                <w:rFonts w:ascii="Times New Roman" w:eastAsia="Times New Roman" w:hAnsi="Times New Roman"/>
                <w:color w:val="000000"/>
                <w:sz w:val="14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магазин хозяйственных товаров - в подвале   секции № 10.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Спуск в   подвальные помещения осуществляется по лестницам, для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маломобильных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групп   предусмотрены вертикальные подъемники с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пожаробезопасной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зоной (помещения с   подпором воздуха и с противопожарной дверью).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составе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семейного</w:t>
            </w:r>
            <w:proofErr w:type="spell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 xml:space="preserve"> клуба по интересам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предусмотрены   следующие помещения для досуга взрослого населения: зал для занятий   настольными играми; зал для занятия настольным теннисом; сок-бар; театральная   студия; санитарный узел; вестибюль с 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lastRenderedPageBreak/>
              <w:t>гардеробом; подсобные и технические   помещения.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Максимальная   вместимость - 32 человека. Режим работы - с 18 до 22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составе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помещений</w:t>
            </w:r>
            <w:proofErr w:type="spell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 xml:space="preserve"> для бытового обслуживания населения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 предусмотрены: приемные пункты химчистки и прачечной, а также мастерские по   ремонту мелкой бытовой техники и ремонту обуви и кожгалантереи.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Вход   организован через общий вход в общественную зону. Численность обслуживающего   персонала - 17 человек. Режим работы - с 9 до 20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составе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выставочного</w:t>
            </w:r>
            <w:proofErr w:type="spell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 xml:space="preserve"> зала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предусмотрены следующие   помещения: два выставочных зала общей площадью 72,55 м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;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вспомогательные   помещения, санитарный узел для посетителей и персонала.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Режим   работы устанавливается арендатором помещений.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 составе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видеосалона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 предусмотрены следующие помещения: видеосалон, торговый зал, подсобные   помещения и санитарный узел. Численность обслуживающего персонала - 3   человека. Режим работы - с 9 до 20 часов.</w:t>
            </w:r>
          </w:p>
          <w:p w:rsidR="00ED5667" w:rsidRPr="00ED5667" w:rsidRDefault="00ED5667" w:rsidP="00ED5667">
            <w:pPr>
              <w:ind w:left="40" w:right="20" w:firstLine="278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Ремонт часов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Численность   обслуживающего персонала - 2 человека. Режим работы - с 9 до 20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Парикмахерская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рассчитана на 4-х мастеров и одного   мастера маникюра. Численность обслуживающего персонала - 6 человек. Режим   работы - с 9 до 21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составе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салона</w:t>
            </w:r>
            <w:proofErr w:type="spell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 xml:space="preserve"> красоты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предусмотрены следующие помещения:   парикмахерская на 3 рабочих места, солярий, массажный кабинет, косметический   кабинет, кабинет маникюра и педикюра. Численность обслуживающего персонала -   12 человек.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Режим   работы - с 9 до 21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фотоателье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осуществляется прием на распечатку   пленки, в том числе и цифровой. В помещении печати фотографии 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установлена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  мини-фотолаборатория.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Численность   обслуживающего персонала - 2 человека. Режим работы - с 9 до 20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секциях   №№ 8 и 9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находятся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офисные</w:t>
            </w:r>
            <w:proofErr w:type="spell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 xml:space="preserve"> помещения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№ 1-4,   площадью соответственно 96,20 м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; 80,37 м</w:t>
            </w:r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; 76,60 м</w:t>
            </w:r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;   115,02 м</w:t>
            </w:r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; в секции №10 - офисные помещения № 5-7, площадью соответственно   175,09 м</w:t>
            </w:r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; 86,70 м</w:t>
            </w:r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; 121,14 м</w:t>
            </w:r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Все офисы   оборудованы сантехническими узлами, помещениями уборочного инвентаря,   вестибюлями, комнатами приема пищи.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Режим   работы устанавливается арендатором помещений.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составе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культурно-бытовых</w:t>
            </w:r>
            <w:proofErr w:type="spell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 xml:space="preserve"> помещений для офисов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 предусмотрены: зал для занятия настольными играми, вестибюль с гардеробом,   банкетные залы, бильярдная, тренажерный зал, буфетная и необходимые подсобные   помещения, включая санитарные узлы и бытовые помещения персонала,   санитарно-бытовые узлы и подсобные помещения.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   тренажерном зале установлены индивидуальные тренажеры. Одновременно в зале   может заниматься 6 человек. Посетители тренажерного зала пользуются   раздевалкой с душевой и санузлами.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Банкетные   залы с подсобными помещениями предназначены для проведения торжественных   вечеров работников офисов на 12 и 20 мест. Для распаковки и раскладки готовой   продукции предусмотрена буфетная, для подогрева используется электроплита и   микроволновая печь. В банкетных залах используются полуфабрикаты высокой   степени готовности и одноразовая посуда.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составе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помещений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магазина</w:t>
            </w:r>
            <w:proofErr w:type="spell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 xml:space="preserve"> хозяйственных товаров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 предусмотрены: два торговых зала, кладовые, помещения администрации, бытовые   помещения обслуживающего персонала и санитарные узлы.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Ассортимент   магазина: сантехника, электроприборы, светильники, скобяные изделия и т.д. В   зале магазина установлены торговые 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lastRenderedPageBreak/>
              <w:t>стеллажи, прилавки-витрины и прилавки для   упаковки товаров. Доставка товара осуществляется автомобильным транспортом.   Вертикальная связь осуществляется по лестнице и грузовым подъемником   грузоподъемностью 250 кг.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Численность   обслуживающего персонала - 7 человек. Режим работы - с 10 до 20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Встроенно-пристроенное здание магазина и кафе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-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пристроено   к секции № 1 жилого дома №9 корпус 9/1, одноэтажное, с подвалом. Здание в   плане состоит из 2-х частей с размерами в осях 13,7x18,5 м и 5,0x18,32 м,   соединенных угловой секцией 30°. Высота здания до верха парапета 5,1 м. За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отм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 0.000 принята отметка пола 1-го этажа, соответствующая абсолютной   отметке 172,20 м.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 1-м   этаже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магазина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 расположены: вестибюль с аптечным коском, торговый зал магазина площадью   216,5 м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, загрузочная с подсобными помещениями, административные и   бытовые помещения. В подвале расположены кладовые магазина, помещения   расфасовки.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Вертикальная   связь осуществляется по двум лестницам и грузовым подъемником   грузоподъемностью 250 кг.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ED566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Магазин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 предназначен для реализации мясных и рыбных полуфабрикатов, овощей, фруктов,   гастрономии,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вино-водочной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продукции, соков, воды, хлебобулочных изделий,   сопутствующих товаров.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Поступление товара, частично, в штучном или в   расфасованном виде.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Для   персонала предусмотрены: кабинет, гардеробы персонала, комната приема пищи с   кухонной мебелью, холодильником, столами, электрочайником и микроволновой   печью.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Численность   работающих в магазине сотрудников составляет 15 человек, в максимальную смену   13 человек. Режим работы - с 9-ти до 21 часа.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На первом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этаже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кафе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располагаются:   помещение загрузки с кладовой для сухих продуктов и моечной тары,   обособленные раздельные входы для персонала и посетителей. В подвале   располагаются: обеденный зал на 50 человек, вестибюль, санитарные узлы для   посетителей, помещения администрации, бытовые помещения и санитарные узлы для   персонала, горячий цех,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доготовочный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цех, цех зелени, раздаточная, моечная   кухонной и столовой посуды, технические и вспомогательные помещения.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Вертикальная   связь осуществляется по двум лестницам и грузовым подъемником   грузоподъемностью 250 кг.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Ассортимент   кафе: горячие и холодные блюда, закуски, десерты, напитки, соки, кофе, пиво,   алкогольные напитки.</w:t>
            </w:r>
            <w:proofErr w:type="gramEnd"/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доготовочном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цехе происходит нарезка на мелкокусковые и порционные мясные и   рыбные полуфабрикаты, обработка их специями. В цехе зелени происходит   обработка зелени и овощей, чистка, мойка, нарезка так, что зелень и овощи в   цехи поступают полностью 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обработанными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Процесс   приготовления готовых блюд завершается в горячем и холодном цехах. В горячем   цехе установлены электроплиты, фритюрница,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электросковорода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,  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пароконвектоматы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, позволяющие приготовить разнообразный ассортимент горячих   блюд. В холодном цехе приготовление салатов, закусок, десертов, нарезка   гастрономии. В кафе принята система обслуживания через официантов или через   бармена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барной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стойки.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В моечной   столовой посуды грязная посуда моется в моечных ваннах и посудомоечной машине   периодического действия со столом предварительного ополаскивания. Чистая   посуда хранится в шкафах. Отходы из 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моечной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в герметически закрытом бачке   хранятся в холодильном шкафу и вывозятся раз в сутки.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Кафе   оснащено высокопроизводительным современным оборудованием тепловым,   холодильным и механическим в соответствии с технологическими процессами.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Для   персонала кафе предусмотрены: гардеробы персонала с 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lastRenderedPageBreak/>
              <w:t>душевыми, санузлы,   кабинет администрации.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Численность   обслуживающего персонала -22 человека, из них в максимальную смену - 16   человек. Режим работы - с 12 до 24 часов.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Здание студии детского творчества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-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 расположено между секцией № 7 корпуса 9/1 и секцией № 8 корпуса 9/2 жилого   дома № 9.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Здание   4-х этажное, имеет размеры в осях 18,1x20,3 м. Высота 1-КЗ-го этажей - 4,2 м;   4-го - 3,9 м (от пола до потолка). Высота здания от уровня планировочной   отметки до парапета - 21,650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(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max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).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За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отм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   0.000 принята отметка пола 1-го этажа, соответствующая абсолютной отметке   171,90 м.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Между   2-4-ым этажами предусмотрен атриум размерами 2,8x2,8 м, в покрытии   предусмотрен зенитный фонарь.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Под   зданием располагается технический подвал (продолжение между секциями 7 и 8) и   техническими помещениями, расположенными в надстройках на кровле.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На первом   этаже организован сквозной проезд во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внутридворовую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территорию размерами   6,0x5,0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(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h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)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м, а также размещаются помещения   входной группы, пост охраны, технические помещения.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 втором   этаже размещаются: актовый зал на 76 мест, зал для занятий хореографией с   подсобными помещениями, медпункт; библиотека, санитарные узлы.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   третьем этаже размещаются: класс групповых музыкальных занятий, класс   теоретических занятий по музыке, мастерские живописи с подсобными   помещениями, санитарные узлы, в том числе для МГН.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   четвертом этаже размещаются: класс групповых музыкальных занятий, класс   теоретических занятий, кружок кройки и шитья, административные помещения,   помещения преподавателей, санитарные узлы для преподавателей.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Все этажи   имеют холлы с освещением вторым светом зенитного фонаря.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Актовый   зал 2 этажа используется как для отчетных концертов учащихся, так и для   тематических вечеров приглашенных артистов и музыкантов.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Зал   хореографии оборудован балетными станками, зеркалом, 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банкетками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, в зале   установлен рояль. В раздевалках установлены душевые и шкафчики.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Количество   преподавателей студии - 18 человек.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На 2-м,   3-м и 4-м этажах студии детского творчества размещены помещения санузлов для   мальчиков и девочек, оборудованные кабинами с дверями без запоров. Санузел   для МГН предусмотрен на 3-м этаже, санузел для персонала - на 4-м этаже   здания.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Междуэтажное   сообщение по двум лестницам типа Л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1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, 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которые имеют выходы наружу через вестибюли, отделенные от примыкающих   коридоров перегородками с дверями.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Учебные   помещения, в которых предусматривается использование технических средств   обучения, оборудуются устройствами для зашторивания (типа жалюзи, тканевые   шторы светлых тонов).</w:t>
            </w:r>
          </w:p>
          <w:p w:rsidR="00ED5667" w:rsidRPr="00ED5667" w:rsidRDefault="00ED5667" w:rsidP="00ED5667">
            <w:pPr>
              <w:spacing w:line="336" w:lineRule="atLeast"/>
              <w:ind w:left="40" w:right="20" w:firstLine="278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"/>
                <w:szCs w:val="2"/>
                <w:bdr w:val="none" w:sz="0" w:space="0" w:color="auto" w:frame="1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ind w:left="40" w:right="20" w:firstLine="278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Трансформаторная подстанция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(далее - ТП)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,</w:t>
            </w:r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р</w:t>
            </w:r>
            <w:proofErr w:type="gramEnd"/>
            <w:r w:rsidRPr="00ED56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аспределительный   пункт</w:t>
            </w: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val="ru-RU" w:eastAsia="ru-RU" w:bidi="ar-SA"/>
              </w:rPr>
              <w:t>, совмещенный с трансформаторной подстанцией (далее - РТП)</w:t>
            </w:r>
          </w:p>
          <w:p w:rsidR="00ED5667" w:rsidRPr="00ED5667" w:rsidRDefault="00ED5667" w:rsidP="00ED5667">
            <w:pPr>
              <w:ind w:left="40" w:right="20" w:firstLine="27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Здания   одноэтажные, с размерами в осях: ТП - 10,50x5,60 м, РТП - 9,60x9,85 м.   Максимальная высота по парапету: ТП - 4,620 м, РТП - 4,000 м.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 xml:space="preserve">Состав   общего имущества в многоквартирном доме и (или) ином объекте </w:t>
            </w: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недвижимости,   которое будет находиться в общей долевой собственности участников долевого   строительства после получения разрешения на ввод в эксплуатацию указанных   объектов недвижимости и передачи объектов долевого строительства участникам   долевого строительства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 xml:space="preserve">В общей   долевой собственности участников будут находиться помещения общего   пользования (лестничные клетки, коридоры, помещения, в которых   расположены оборудование и системы инженерного обеспечения здания,   </w:t>
            </w:r>
            <w:r w:rsidRPr="00ED5667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 xml:space="preserve">в т.ч. машинные отделения лифта, </w:t>
            </w:r>
            <w:proofErr w:type="spellStart"/>
            <w:r w:rsidRPr="00ED5667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венткамеры</w:t>
            </w:r>
            <w:proofErr w:type="spellEnd"/>
            <w:r w:rsidRPr="00ED5667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, </w:t>
            </w:r>
            <w:proofErr w:type="spellStart"/>
            <w:r w:rsidRPr="00ED5667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электрощитовые</w:t>
            </w:r>
            <w:proofErr w:type="spellEnd"/>
            <w:r w:rsidRPr="00ED5667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).</w:t>
            </w:r>
          </w:p>
          <w:p w:rsidR="00ED5667" w:rsidRPr="00ED5667" w:rsidRDefault="00ED5667" w:rsidP="00ED5667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Доля   каждого собственника в общем имуществе определяется пропорционально   общей площади помещений, приобретаемых в собственность. Фактическая доля   будет определена после изготовления технического паспорта здания.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 xml:space="preserve">Предполагаемый   срок получения разрешения на ввод в эксплуатацию </w:t>
            </w:r>
            <w:proofErr w:type="gram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строящихся</w:t>
            </w:r>
            <w:proofErr w:type="gram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(создаваемых)   многоквартирного дома и (или) иного объекта недвижимости,</w:t>
            </w:r>
          </w:p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перечень   органов государственной власти, органов местного самоуправления и   организаций, представители которых участвуют в приемке указанных   многоквартирного дома и (или) иного объекта недвижимости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numPr>
                <w:ilvl w:val="0"/>
                <w:numId w:val="5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(дом 9) - 4 кв. 2014 г.;</w:t>
            </w:r>
          </w:p>
          <w:p w:rsidR="00ED5667" w:rsidRPr="00ED5667" w:rsidRDefault="00ED5667" w:rsidP="00ED5667">
            <w:pPr>
              <w:numPr>
                <w:ilvl w:val="0"/>
                <w:numId w:val="5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(дом 8) - 2 кв. 2015 г.</w:t>
            </w:r>
          </w:p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Администрация   городского округа Домодедово и муниципальные службы,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Отдел   строительного надзора №23 Главного управления государственного строительного   надзора Московской области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Возможные   финансовые и прочие риски при осуществлении </w:t>
            </w: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проекта строительства и меры по   добровольному страхованию застройщиком таких рисков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рыночные риски, связанные с   ухудшением общей экономической ситуации (удорожание стоимости сырья,   девальвация национальной валюты, повышение; банковской процентной ставки);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производственные риски —   срыв сроков строительства, выполнения   работ и поставок материалов.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Страхование членов СРО от   строительных рисков.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о   планируемой стоимости строительства (создания) многоквартирного дома и (или)   иного объекта недвижимости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numPr>
                <w:ilvl w:val="0"/>
                <w:numId w:val="6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– 1,5 млрд. рублей,</w:t>
            </w:r>
          </w:p>
          <w:p w:rsidR="00ED5667" w:rsidRPr="00ED5667" w:rsidRDefault="00ED5667" w:rsidP="00ED5667">
            <w:pPr>
              <w:numPr>
                <w:ilvl w:val="0"/>
                <w:numId w:val="6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II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–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ED5667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0,95 млрд.   рублей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Перечень   организаций, осуществляющих основные строительно-монтажные и другие работы   (подрядчики)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Генподрядчик – ООО ПКФ   «</w:t>
            </w: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Гюнай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»,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proofErr w:type="spellStart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Подрядчикипо</w:t>
            </w:r>
            <w:proofErr w:type="spellEnd"/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 монтажу,   пуско-наладке (указываются по мере заключения конкретные организации):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лифтов,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связи,</w:t>
            </w:r>
          </w:p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пожарной сигнализации.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Способ   обеспечения исполнения обязательств застройщика по договору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Использование для   финансирования строительства средств: собственных, кредитных (заёмных),   участников долевого строительства. Залог земельного участка участникам долевого   строительства.</w:t>
            </w:r>
          </w:p>
        </w:tc>
      </w:tr>
      <w:tr w:rsidR="00ED5667" w:rsidRPr="00ED5667" w:rsidTr="00ED5667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Иные   договора и сделки, на основании которых привлекаются денежные средства для   строительства (создания) многоквартирного дома и (или) иного объекта   недвижимости, за исключением привлечения денежных средств на основании   договоров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67" w:rsidRPr="00ED5667" w:rsidRDefault="00ED5667" w:rsidP="00ED5667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ED5667">
              <w:rPr>
                <w:rFonts w:ascii="Arial" w:eastAsia="Times New Roman" w:hAnsi="Arial" w:cs="Arial"/>
                <w:color w:val="333333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Кредиты</w:t>
            </w:r>
          </w:p>
        </w:tc>
      </w:tr>
    </w:tbl>
    <w:p w:rsidR="006A06DB" w:rsidRDefault="00ED5667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B06"/>
    <w:multiLevelType w:val="multilevel"/>
    <w:tmpl w:val="CDF27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76E9"/>
    <w:multiLevelType w:val="multilevel"/>
    <w:tmpl w:val="47F4A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E74D4"/>
    <w:multiLevelType w:val="multilevel"/>
    <w:tmpl w:val="781AE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E749E"/>
    <w:multiLevelType w:val="multilevel"/>
    <w:tmpl w:val="518E3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56474"/>
    <w:multiLevelType w:val="multilevel"/>
    <w:tmpl w:val="8ACE6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A0D03"/>
    <w:multiLevelType w:val="multilevel"/>
    <w:tmpl w:val="C54EB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667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3F6F24"/>
    <w:rsid w:val="00426722"/>
    <w:rsid w:val="005422A8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ED5667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unhideWhenUsed/>
    <w:rsid w:val="00ED56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D5667"/>
  </w:style>
  <w:style w:type="character" w:customStyle="1" w:styleId="fontstyle81">
    <w:name w:val="fontstyle81"/>
    <w:basedOn w:val="a0"/>
    <w:rsid w:val="00ED5667"/>
  </w:style>
  <w:style w:type="paragraph" w:customStyle="1" w:styleId="500">
    <w:name w:val="50"/>
    <w:basedOn w:val="a"/>
    <w:rsid w:val="00ED56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00">
    <w:name w:val="10"/>
    <w:basedOn w:val="a"/>
    <w:rsid w:val="00ED56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a"/>
    <w:basedOn w:val="a0"/>
    <w:rsid w:val="00ED5667"/>
  </w:style>
  <w:style w:type="paragraph" w:customStyle="1" w:styleId="200">
    <w:name w:val="20"/>
    <w:basedOn w:val="a"/>
    <w:rsid w:val="00ED56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4">
    <w:name w:val="14"/>
    <w:basedOn w:val="a0"/>
    <w:rsid w:val="00ED5667"/>
  </w:style>
  <w:style w:type="character" w:customStyle="1" w:styleId="13">
    <w:name w:val="13"/>
    <w:basedOn w:val="a0"/>
    <w:rsid w:val="00ED5667"/>
  </w:style>
  <w:style w:type="paragraph" w:customStyle="1" w:styleId="style12">
    <w:name w:val="style12"/>
    <w:basedOn w:val="a"/>
    <w:rsid w:val="00ED56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2">
    <w:name w:val="12"/>
    <w:basedOn w:val="a0"/>
    <w:rsid w:val="00ED5667"/>
  </w:style>
  <w:style w:type="character" w:customStyle="1" w:styleId="110">
    <w:name w:val="11"/>
    <w:basedOn w:val="a0"/>
    <w:rsid w:val="00ED5667"/>
  </w:style>
  <w:style w:type="character" w:customStyle="1" w:styleId="1000">
    <w:name w:val="100"/>
    <w:basedOn w:val="a0"/>
    <w:rsid w:val="00ED5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4507</Words>
  <Characters>25691</Characters>
  <Application>Microsoft Office Word</Application>
  <DocSecurity>0</DocSecurity>
  <Lines>214</Lines>
  <Paragraphs>60</Paragraphs>
  <ScaleCrop>false</ScaleCrop>
  <Company>Microsoft</Company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2014-03-17T11:28:00Z</dcterms:created>
  <dcterms:modified xsi:type="dcterms:W3CDTF">2014-03-17T11:29:00Z</dcterms:modified>
</cp:coreProperties>
</file>