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E9" w:rsidRPr="000C5FE9" w:rsidRDefault="000C5FE9" w:rsidP="000C5FE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>Проектная декларация</w:t>
      </w:r>
    </w:p>
    <w:p w:rsidR="000C5FE9" w:rsidRPr="000C5FE9" w:rsidRDefault="000C5FE9" w:rsidP="000C5FE9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О проекте строительства 6-ти секционного многоэтажного монолитного жилого дома корп.64 по адресу: Московская область, г. Мытищи, </w:t>
      </w:r>
      <w:proofErr w:type="spellStart"/>
      <w:r w:rsidRPr="000C5FE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. 20-а, 2-ой </w:t>
      </w:r>
      <w:proofErr w:type="gramStart"/>
      <w:r w:rsidRPr="000C5FE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Красноармейский</w:t>
      </w:r>
      <w:proofErr w:type="gramEnd"/>
      <w:r w:rsidRPr="000C5FE9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 xml:space="preserve"> пер.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17 июня 20013г.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I. Информация о застройщике: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1.1 Наименование застройщика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»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1.2 Место нахождения застройщика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Почтовый адрес: 141014, Московская область,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56, 1-ый этаж.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Юридический адрес: 141014, Московская область, г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25.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1.3 Режим работы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Понедельник – пятница с 9:00 до 19:00; суббота, воскресенье с 10:00 до 18:00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Государственная регистрация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» зарегистрировано областной Регистрационной палатой №50:12:02096 от 29 августа 2000года.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Свидетельство о внесении записи в Единый государственный реестр юридических лиц ОГРН 1025003520695 от 25 сентября 2002 года.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Свидетельство о постановке на учет в налоговом органе серии 50 №009097037 от 13.09.2000г.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ИНН 5029054449 КПП 502901001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 xml:space="preserve">3.1 Учредители застройщика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Московский региональный союз потребительской кооперации (МСПК)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4.1 Проекты строительства многоквартирных домов и иных объектов недвижимости, в которых принимал участие застройщик – ООО «</w:t>
      </w:r>
      <w:proofErr w:type="spellStart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» в течени</w:t>
      </w:r>
      <w:proofErr w:type="gramStart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и</w:t>
      </w:r>
      <w:proofErr w:type="gramEnd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 трех лет (2006 – 2008 г.г.)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- 12-14 этажный жилой дом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Московская область, г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56,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Перловка).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– 30 июня 2006года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- 2-ух этажный детский сад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54А,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10 октября 2006 года.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Подземный гараж на 196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маш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/мест.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54Б,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20 октября 2008 года.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5.1 Виды лицензируемой деятельности застройщика.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На основании Федерального закона №148-ФЗ от 22 июля 2008г. и приказа Министерства регионального развития РФ №247 от 09 декабря 2008г. функции Заказчика-застройщика не подлежат лицензированию.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Финансовые показатели – положительные.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6.1</w:t>
      </w:r>
      <w:r w:rsidRPr="000C5FE9">
        <w:rPr>
          <w:rFonts w:ascii="Times New Roman" w:eastAsia="Times New Roman" w:hAnsi="Times New Roman"/>
          <w:lang w:val="ru-RU" w:eastAsia="ru-RU" w:bidi="ar-SA"/>
        </w:rPr>
        <w:t xml:space="preserve"> Незавершенное производство составляет 707 998 тыс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II. Информация о проекте строительства: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1.1 Цель проекта строительства.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6-ти секционный многоэтажный монолитный жилой дом.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1.2 Этапы реализации проекта строительства.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Первый этап – подготовительные работы.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Второй этап – строительство объекта.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Третий этап – получение разрешения на ввод объекта в эксплуатацию.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Сроки реализации проекта строительства: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Первый этап 01.01.2009г.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Второй этап 01.08.2009г.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Третий этап 31 декабря 2013г.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1.3 Результаты проведения государственной экспертизы проектной документации.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Заключение Главного Управления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Мособлэкспертиза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>» № Э-3-848-2007 от 03.12.2007г. – положительное.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Заключение негосударственной экспертизы № 2-1-1-0467-12 от 11.02.2013г. – положительное.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Разрешение на строительство.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Разрешение на строительство № RU50501102-002024 от 17.06. 2013 года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Права застройщика на земельный участок.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lastRenderedPageBreak/>
        <w:t>Договор аренды № 6567 от 06 июля 2009 года земельного участка с Администрацией г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ытищи общей площадью 3550 м2 с кадастровым номером К№ 50:12:0100510:130. Собственник земельного участка - Муниципальное образование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Мытищинский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муниципальный район Московской области».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Договор аренды № 8327 от 02 октября 2012 года земельного участка с Администрацией г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ытищи общей площадью 561 м2 с кадастровым номером К№ 50:12:0100510:142. Собственник земельного участка - Муниципальное образование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Мытищинский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муниципальный район Московской области».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Земельные участки в собственност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и ООО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«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>»: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245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50:12:0100510:20,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444 м2 с кадастровым номером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 xml:space="preserve"> К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№ 50:12:0100510:71,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1320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50:12:0100509:120.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300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50:12:0100510:0019,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130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50:12:0100510:22,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115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50:12:0100510:23,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385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50:12:0100510:131,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14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50:12:0100510:132,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447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50:12:0100510:136,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Общей площадью 245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50:12:0100510:0018.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3.1.1 Границы земельного участка.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Участок граничит: на западе – со 2-ым Красноармейским переулком, на севере – ул. Веры Волошиной, на юге и на востоке – муниципальные земли.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3.2 Элементы благоустройства.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Озеленение территории, площадки для игр детей и отдыха взрослого населения, организация транспортных и переходных потоков, стоянка для автомашин.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 xml:space="preserve">4.1 Местоположение возводимого шестисекционного многоквартирного жилого дома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– г. Мытищи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20-а, 2-ой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Красноармейский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пер., корп. 64.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Жилой дом №64 ориентирован на 2-Красноармейский переулок. Секции одной этажности скомпонованы по две и смещены по отношению друг к другу. Нарастание этажности идет в направлении к ул. Веры Волошиной.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Каждая входная группа имеет помещение охраны (с санузлом), вестибюль.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Лестнично-лифтовые узлы оборудованы: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- 11-ти этажные секции, в т.ч. подвальные и технические этажи – один лифт г/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, 630кг, V =1м/с.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- 13-ти этажные секции, в т.ч. подвальные и технические этажи – двумя лифтами г/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400кг, 630кг, V= 1м/с.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- 15-ти этажные секции, в т.ч. подвальные и технические этажи – двумя лифтами г/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400кг, 630кг, V= 1м/с.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Помещения общественного назначения размещаются: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диспетчерская и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электрощитовая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– на первом этаже;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ИТП, ВРУ и водомерный узел – в подвале жилого дома;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насосная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– пристроена к жилому дому;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4.2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 xml:space="preserve"> В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качестве наружной отделки фасадов жилых домов применяется облицовочный кирпич различной цветовой гаммы.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Окна – пластиковые с двойным стеклопакетом.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Остекление лоджий - одинарное.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Цвет переплетов – согласно цветовому решению фасадов.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4.3</w:t>
      </w:r>
      <w:r w:rsidRPr="000C5FE9">
        <w:rPr>
          <w:rFonts w:ascii="Times New Roman" w:eastAsia="Times New Roman" w:hAnsi="Times New Roman"/>
          <w:lang w:val="ru-RU" w:eastAsia="ru-RU" w:bidi="ar-SA"/>
        </w:rPr>
        <w:t xml:space="preserve"> Наружные ограждающие стены приняты слоистой конструкции: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Тип 1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- монолитный железобетон yo=2500кг/м3 – 160мм;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=40кг/м3 – 160мм;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 1600кг/м3.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Тип 2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кладка из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полистиролбетонных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блоков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=250кг/м3 – 295мм;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=1600кг/м3 – 120мм.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Конструкция кровли: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2 слоя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изопласта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– цементно-песчаный раствор М100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=1800кг/ м3-25мм;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керамзитобетон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=600кг/м3 для создания уклона - 20-160кг/м3;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=40кг/м3- 180мм;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пароизоляция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– обмазка битумной мастикой;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- плита покрытия – монолитный железобетон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=2500кг/м3 – 160мм.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Водосток - внутренний.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4.4</w:t>
      </w:r>
      <w:r w:rsidRPr="000C5FE9">
        <w:rPr>
          <w:rFonts w:ascii="Times New Roman" w:eastAsia="Times New Roman" w:hAnsi="Times New Roman"/>
          <w:lang w:val="ru-RU" w:eastAsia="ru-RU" w:bidi="ar-SA"/>
        </w:rPr>
        <w:t xml:space="preserve"> Обеспечение жизнедеятельности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маломобильных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групп населения.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На перепадах высо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т(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входы в подъезды жилых домов, на стилобат) предусмотрены пандусы с уклоном не более 1:12. Пандусы обустроены поручнями, согласно СНиП35-01-2001.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Каждая секция жилого дома имеет грузовой лифт с размерами кабины 1100х2100мм.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5.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5.1 Количество в составе жилого дома (квартир).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Площадь застройки 2243,33кв.м.,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Строительный объем 88245,78 м3, в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 xml:space="preserve"> .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ч.: подземной части 6552,54 м3, надземной части 81693,24 м3,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Площадь здания 21294,85 м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Количество квартир – 257 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, общая площадь квартир 15110,74 м2, в том числе: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1-комнатных - 105 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площадью 1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от 43,79м2 до 48,00м2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2-комнатных - 130 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площадью 1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от 63,22м2 до 72,47м2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3-комнатных - 21 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площадью 1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от 87,15м2 до 92,62м2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lastRenderedPageBreak/>
        <w:t xml:space="preserve">4-комнатных - 1 </w:t>
      </w:r>
      <w:proofErr w:type="spellStart"/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площадью 1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кв-ры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173,81 м2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Квартиры без отделки.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6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6.1 Состав общего имущества жилого комплекса, которое будет находиться в общей долевой собственности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 xml:space="preserve"> 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7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7.1 Предполагаемый срок получения разрешения на ввод жилого комплекса в эксплуатацию 31 декабря 2013 года.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7.2 Органы государственной власти, местного самоуправления и организации, представители которых принимают участие в приемке жилого комплекса: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Администрация городского поселения Мытищи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выдает Разрешение на ввод объекта в эксплуатацию на основании Заключения ГУГСН Московской области и Постановления об утверждении Заключения.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8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8.1 Меры по добровольному страхованию застройщиком возможных финансовых и прочих рисков при осуществлении строительства.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Страхование не осуществляется.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8.2 Планируемая стоимость строительства жилого дома.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Планируемая стоимость строительства жилого дома – 895 000 тыс</w:t>
      </w:r>
      <w:proofErr w:type="gramStart"/>
      <w:r w:rsidRPr="000C5FE9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0C5FE9">
        <w:rPr>
          <w:rFonts w:ascii="Times New Roman" w:eastAsia="Times New Roman" w:hAnsi="Times New Roman"/>
          <w:lang w:val="ru-RU" w:eastAsia="ru-RU" w:bidi="ar-SA"/>
        </w:rPr>
        <w:t>уб.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9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9.1 Организации, осуществляющие основные строительно-монтажные и другие работы (подрядчики).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Генеральный подрядчик – ООО «Возрождение», ОГРН 1115029001713, ИНН 5029148746, КПП502901001,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Раздел10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10.1. Способ обеспечения исполнения обязательств Застройщика по договорам участия в долевом строительстве.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Способом обеспечения исполнения обязательств Застройщика по договорам участия в долевом строительстве предусматривается залог предоставленного на правах собственности и аренды земельных участков для строительства и создаваемый на этих участках объект недвижимости.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Раздел 11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11.1</w:t>
      </w:r>
      <w:proofErr w:type="gramStart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</w:t>
      </w:r>
      <w:proofErr w:type="gramEnd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ные договоры и сделки, на основании которых привлекаются денежные средства для строительства жилого комплекса, за исключением денежных средств на основании договоров.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Иных договоров и сделок не имеется. 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 xml:space="preserve">Данная декларация размещена на сайте http://koopstroy.ru/gubernator.php, и экземпляр декларации передан в </w:t>
      </w:r>
      <w:proofErr w:type="spellStart"/>
      <w:r w:rsidRPr="000C5FE9">
        <w:rPr>
          <w:rFonts w:ascii="Times New Roman" w:eastAsia="Times New Roman" w:hAnsi="Times New Roman"/>
          <w:lang w:val="ru-RU" w:eastAsia="ru-RU" w:bidi="ar-SA"/>
        </w:rPr>
        <w:t>Минмособлстрой</w:t>
      </w:r>
      <w:proofErr w:type="spellEnd"/>
      <w:r w:rsidRPr="000C5FE9">
        <w:rPr>
          <w:rFonts w:ascii="Times New Roman" w:eastAsia="Times New Roman" w:hAnsi="Times New Roman"/>
          <w:lang w:val="ru-RU" w:eastAsia="ru-RU" w:bidi="ar-SA"/>
        </w:rPr>
        <w:t>.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>Генеральный директор ООО «</w:t>
      </w:r>
      <w:proofErr w:type="spellStart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0C5FE9">
        <w:rPr>
          <w:rFonts w:ascii="Times New Roman" w:eastAsia="Times New Roman" w:hAnsi="Times New Roman"/>
          <w:b/>
          <w:bCs/>
          <w:lang w:val="ru-RU" w:eastAsia="ru-RU" w:bidi="ar-SA"/>
        </w:rPr>
        <w:t>» А.А. Кожевников</w:t>
      </w:r>
    </w:p>
    <w:p w:rsidR="000C5FE9" w:rsidRPr="000C5FE9" w:rsidRDefault="000C5FE9" w:rsidP="000C5FE9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0C5FE9">
        <w:rPr>
          <w:rFonts w:ascii="Times New Roman" w:eastAsia="Times New Roman" w:hAnsi="Times New Roman"/>
          <w:lang w:val="ru-RU" w:eastAsia="ru-RU" w:bidi="ar-SA"/>
        </w:rPr>
        <w:t> </w:t>
      </w:r>
    </w:p>
    <w:p w:rsidR="006A06DB" w:rsidRDefault="000C5FE9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FE9"/>
    <w:rsid w:val="0004343B"/>
    <w:rsid w:val="000C5FE9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6745A5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0C5F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1558</Words>
  <Characters>8886</Characters>
  <Application>Microsoft Office Word</Application>
  <DocSecurity>0</DocSecurity>
  <Lines>74</Lines>
  <Paragraphs>20</Paragraphs>
  <ScaleCrop>false</ScaleCrop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2013-11-12T16:48:00Z</dcterms:created>
  <dcterms:modified xsi:type="dcterms:W3CDTF">2013-11-12T16:48:00Z</dcterms:modified>
</cp:coreProperties>
</file>